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DA" w:rsidRDefault="00CA12DA" w:rsidP="00950448">
      <w:pPr>
        <w:jc w:val="both"/>
        <w:rPr>
          <w:szCs w:val="24"/>
          <w:lang w:val="en-US"/>
        </w:rPr>
      </w:pPr>
    </w:p>
    <w:p w:rsidR="00DD2274" w:rsidRDefault="00DD2274" w:rsidP="00950448">
      <w:pPr>
        <w:jc w:val="both"/>
        <w:rPr>
          <w:szCs w:val="24"/>
          <w:lang w:val="en-US"/>
        </w:rPr>
      </w:pPr>
    </w:p>
    <w:p w:rsidR="00DD2274" w:rsidRPr="00950448" w:rsidRDefault="00DD2274" w:rsidP="00950448">
      <w:pPr>
        <w:jc w:val="center"/>
        <w:rPr>
          <w:b/>
          <w:sz w:val="24"/>
          <w:szCs w:val="24"/>
        </w:rPr>
      </w:pPr>
      <w:r w:rsidRPr="00950448">
        <w:rPr>
          <w:b/>
          <w:sz w:val="24"/>
          <w:szCs w:val="24"/>
          <w:lang w:val="en-US"/>
        </w:rPr>
        <w:t>Minuta şedinţei cu reprezentanţii asociaţiilor/comitetelor de părinţi pe şco</w:t>
      </w:r>
      <w:r w:rsidRPr="00950448">
        <w:rPr>
          <w:b/>
          <w:sz w:val="24"/>
          <w:szCs w:val="24"/>
        </w:rPr>
        <w:t>ală</w:t>
      </w:r>
    </w:p>
    <w:p w:rsidR="00DD2274" w:rsidRDefault="00DD2274" w:rsidP="00950448">
      <w:pPr>
        <w:jc w:val="both"/>
        <w:rPr>
          <w:szCs w:val="24"/>
        </w:rPr>
      </w:pPr>
    </w:p>
    <w:p w:rsidR="00DD2274" w:rsidRDefault="00DD2274" w:rsidP="00950448">
      <w:pPr>
        <w:ind w:firstLine="708"/>
        <w:jc w:val="both"/>
        <w:rPr>
          <w:szCs w:val="24"/>
        </w:rPr>
      </w:pPr>
      <w:r>
        <w:rPr>
          <w:szCs w:val="24"/>
        </w:rPr>
        <w:t xml:space="preserve">Joi, </w:t>
      </w:r>
      <w:r w:rsidRPr="00495D96">
        <w:rPr>
          <w:b/>
          <w:szCs w:val="24"/>
        </w:rPr>
        <w:t>31.10.2013</w:t>
      </w:r>
      <w:r>
        <w:rPr>
          <w:szCs w:val="24"/>
        </w:rPr>
        <w:t xml:space="preserve">, la </w:t>
      </w:r>
      <w:r w:rsidRPr="00495D96">
        <w:rPr>
          <w:b/>
          <w:szCs w:val="24"/>
        </w:rPr>
        <w:t>Colegiul Naţional de Arte „Regina Maria”</w:t>
      </w:r>
      <w:r w:rsidR="00950448" w:rsidRPr="00495D96">
        <w:rPr>
          <w:b/>
          <w:szCs w:val="24"/>
        </w:rPr>
        <w:t>,</w:t>
      </w:r>
      <w:r>
        <w:rPr>
          <w:szCs w:val="24"/>
        </w:rPr>
        <w:t xml:space="preserve"> a avut loc şedinţa cu reprezentanţii asociaţiilor/comitetlor de părinţi pe şcoală</w:t>
      </w:r>
      <w:r w:rsidR="0030176F">
        <w:rPr>
          <w:szCs w:val="24"/>
        </w:rPr>
        <w:t>,</w:t>
      </w:r>
      <w:r>
        <w:rPr>
          <w:szCs w:val="24"/>
        </w:rPr>
        <w:t xml:space="preserve"> organizată de Inspectoratul Ş</w:t>
      </w:r>
      <w:r w:rsidR="0030176F">
        <w:rPr>
          <w:szCs w:val="24"/>
        </w:rPr>
        <w:t>colar Judeţean</w:t>
      </w:r>
      <w:r>
        <w:rPr>
          <w:szCs w:val="24"/>
        </w:rPr>
        <w:t xml:space="preserve"> Constanţa</w:t>
      </w:r>
      <w:r w:rsidR="0030176F">
        <w:rPr>
          <w:szCs w:val="24"/>
        </w:rPr>
        <w:t>,</w:t>
      </w:r>
      <w:r>
        <w:rPr>
          <w:szCs w:val="24"/>
        </w:rPr>
        <w:t xml:space="preserve"> la care au participat inspectorul şcolar general prof. dr. Răducu Popescu şi inspectorii şcolari pentru învăţământul primar, limba ş</w:t>
      </w:r>
      <w:r w:rsidR="002F4402">
        <w:rPr>
          <w:szCs w:val="24"/>
        </w:rPr>
        <w:t>i literatura română, matematică.</w:t>
      </w:r>
    </w:p>
    <w:p w:rsidR="007022F9" w:rsidRDefault="002F4402" w:rsidP="00950448">
      <w:pPr>
        <w:pStyle w:val="ListParagraph"/>
        <w:ind w:left="0" w:firstLine="708"/>
        <w:jc w:val="both"/>
        <w:rPr>
          <w:sz w:val="24"/>
          <w:szCs w:val="24"/>
          <w:lang w:val="ro-RO"/>
        </w:rPr>
      </w:pPr>
      <w:r>
        <w:rPr>
          <w:szCs w:val="24"/>
        </w:rPr>
        <w:t xml:space="preserve">În deschidere a fost invitată </w:t>
      </w:r>
      <w:r w:rsidRPr="00495D96">
        <w:rPr>
          <w:b/>
          <w:szCs w:val="24"/>
        </w:rPr>
        <w:t>d-ra jurnalist Monixa Coroiu</w:t>
      </w:r>
      <w:r w:rsidR="00FA3380">
        <w:rPr>
          <w:szCs w:val="24"/>
        </w:rPr>
        <w:t>,</w:t>
      </w:r>
      <w:r>
        <w:rPr>
          <w:szCs w:val="24"/>
        </w:rPr>
        <w:t xml:space="preserve"> care a prezentat părinţilor un material</w:t>
      </w:r>
      <w:r w:rsidR="00FA3380">
        <w:rPr>
          <w:szCs w:val="24"/>
        </w:rPr>
        <w:t xml:space="preserve"> referitor la </w:t>
      </w:r>
      <w:r w:rsidR="00FA3380" w:rsidRPr="00495D96">
        <w:rPr>
          <w:b/>
          <w:szCs w:val="24"/>
        </w:rPr>
        <w:t>siguranţa copiilor în utilizarea reţelelor de socializare</w:t>
      </w:r>
      <w:r w:rsidR="00FA3380">
        <w:rPr>
          <w:szCs w:val="24"/>
        </w:rPr>
        <w:t xml:space="preserve"> (Facebook). Au fost prezentate pericolele la care sunt expuşi copiii care au conturi de Facebook</w:t>
      </w:r>
      <w:r w:rsidR="0030176F">
        <w:rPr>
          <w:szCs w:val="24"/>
        </w:rPr>
        <w:t>; în urma cer</w:t>
      </w:r>
      <w:r w:rsidR="007022F9">
        <w:rPr>
          <w:szCs w:val="24"/>
        </w:rPr>
        <w:t>c</w:t>
      </w:r>
      <w:r w:rsidR="0030176F">
        <w:rPr>
          <w:szCs w:val="24"/>
        </w:rPr>
        <w:t>e</w:t>
      </w:r>
      <w:r w:rsidR="007022F9">
        <w:rPr>
          <w:szCs w:val="24"/>
        </w:rPr>
        <w:t>tărilor efectuate s-a constatat că</w:t>
      </w:r>
      <w:r w:rsidR="0030176F">
        <w:rPr>
          <w:szCs w:val="24"/>
        </w:rPr>
        <w:t>,</w:t>
      </w:r>
      <w:r w:rsidR="007022F9">
        <w:rPr>
          <w:szCs w:val="24"/>
        </w:rPr>
        <w:t xml:space="preserve"> </w:t>
      </w:r>
      <w:r w:rsidR="007022F9">
        <w:rPr>
          <w:sz w:val="24"/>
          <w:szCs w:val="24"/>
          <w:lang w:val="ro-RO"/>
        </w:rPr>
        <w:t>p</w:t>
      </w:r>
      <w:r w:rsidR="007022F9" w:rsidRPr="000A0DEB">
        <w:rPr>
          <w:sz w:val="24"/>
          <w:szCs w:val="24"/>
          <w:lang w:val="ro-RO"/>
        </w:rPr>
        <w:t>este 1 milion de copii au fost hărţuiţi, agresaţi sau ameninţaţi pe facebook</w:t>
      </w:r>
      <w:r w:rsidR="007022F9">
        <w:rPr>
          <w:sz w:val="24"/>
          <w:szCs w:val="24"/>
          <w:lang w:val="ro-RO"/>
        </w:rPr>
        <w:t>, iar marea majoritate a acestora au conturi duble.</w:t>
      </w:r>
      <w:r w:rsidR="00950448">
        <w:rPr>
          <w:sz w:val="24"/>
          <w:szCs w:val="24"/>
          <w:lang w:val="ro-RO"/>
        </w:rPr>
        <w:t xml:space="preserve"> Materialul este postat pe site-ul Inspectoratului Şcolar Judeţean, Constanţa la adresa </w:t>
      </w:r>
      <w:r w:rsidR="00950448" w:rsidRPr="00950448">
        <w:rPr>
          <w:sz w:val="24"/>
          <w:szCs w:val="24"/>
          <w:lang w:val="ro-RO"/>
        </w:rPr>
        <w:t>http://www.isjcta.ro/?cat=260</w:t>
      </w:r>
    </w:p>
    <w:p w:rsidR="007022F9" w:rsidRDefault="007022F9" w:rsidP="00950448">
      <w:pPr>
        <w:pStyle w:val="ListParagraph"/>
        <w:ind w:left="0"/>
        <w:jc w:val="both"/>
        <w:rPr>
          <w:sz w:val="24"/>
          <w:szCs w:val="24"/>
          <w:lang w:val="ro-RO"/>
        </w:rPr>
      </w:pPr>
    </w:p>
    <w:p w:rsidR="007022F9" w:rsidRDefault="007022F9" w:rsidP="00950448">
      <w:pPr>
        <w:pStyle w:val="ListParagraph"/>
        <w:ind w:left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Din tematica abordată amintim:</w:t>
      </w:r>
    </w:p>
    <w:p w:rsidR="007022F9" w:rsidRDefault="007022F9" w:rsidP="00950448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495D96">
        <w:rPr>
          <w:b/>
          <w:sz w:val="24"/>
          <w:szCs w:val="24"/>
          <w:lang w:val="ro-RO"/>
        </w:rPr>
        <w:t>Siguranţa elevilor</w:t>
      </w:r>
      <w:r>
        <w:rPr>
          <w:sz w:val="24"/>
          <w:szCs w:val="24"/>
          <w:lang w:val="ro-RO"/>
        </w:rPr>
        <w:t xml:space="preserve"> în unităţile de învăţământ (Legea 29/2010);</w:t>
      </w:r>
    </w:p>
    <w:p w:rsidR="007022F9" w:rsidRDefault="007022F9" w:rsidP="00950448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Comunicări ale inspectorului pentru </w:t>
      </w:r>
      <w:r w:rsidRPr="00495D96">
        <w:rPr>
          <w:b/>
          <w:sz w:val="24"/>
          <w:szCs w:val="24"/>
          <w:lang w:val="ro-RO"/>
        </w:rPr>
        <w:t>învăţământul primar</w:t>
      </w:r>
      <w:r>
        <w:rPr>
          <w:sz w:val="24"/>
          <w:szCs w:val="24"/>
          <w:lang w:val="ro-RO"/>
        </w:rPr>
        <w:t>:</w:t>
      </w:r>
    </w:p>
    <w:p w:rsidR="007022F9" w:rsidRDefault="007022F9" w:rsidP="00950448">
      <w:pPr>
        <w:pStyle w:val="ListParagraph"/>
        <w:numPr>
          <w:ilvl w:val="1"/>
          <w:numId w:val="2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Informaţii legate de înscrierea la clasa pregătitoare, an şcolar 2013-2014</w:t>
      </w:r>
      <w:r w:rsidR="00495D96">
        <w:rPr>
          <w:sz w:val="24"/>
          <w:szCs w:val="24"/>
          <w:lang w:val="ro-RO"/>
        </w:rPr>
        <w:t>;</w:t>
      </w:r>
    </w:p>
    <w:p w:rsidR="007022F9" w:rsidRDefault="0083177E" w:rsidP="00950448">
      <w:pPr>
        <w:pStyle w:val="ListParagraph"/>
        <w:numPr>
          <w:ilvl w:val="1"/>
          <w:numId w:val="2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Temele pentru acasă. Elevii claselor pregătitoare şi I-a nu primesc teme pentru acasa, iar elevii claselor II-IV vor primii teme puţine, în concordanţă cu materia predată;</w:t>
      </w:r>
    </w:p>
    <w:p w:rsidR="0083177E" w:rsidRDefault="00495D96" w:rsidP="00950448">
      <w:pPr>
        <w:pStyle w:val="ListParagraph"/>
        <w:numPr>
          <w:ilvl w:val="1"/>
          <w:numId w:val="2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</w:t>
      </w:r>
      <w:r w:rsidR="0083177E">
        <w:rPr>
          <w:sz w:val="24"/>
          <w:szCs w:val="24"/>
          <w:lang w:val="ro-RO"/>
        </w:rPr>
        <w:t xml:space="preserve">aterialele auxiliare nu sunt obligatorii, procurarea acestora va rămâne la </w:t>
      </w:r>
      <w:r>
        <w:rPr>
          <w:sz w:val="24"/>
          <w:szCs w:val="24"/>
          <w:lang w:val="ro-RO"/>
        </w:rPr>
        <w:t>latitudinea părinţilor</w:t>
      </w:r>
      <w:r w:rsidR="0030176F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aceştia fiind</w:t>
      </w:r>
      <w:r w:rsidR="0083177E">
        <w:rPr>
          <w:sz w:val="24"/>
          <w:szCs w:val="24"/>
          <w:lang w:val="ro-RO"/>
        </w:rPr>
        <w:t xml:space="preserve"> singurii care decid asupra acestor achiziţii</w:t>
      </w:r>
      <w:r>
        <w:rPr>
          <w:sz w:val="24"/>
          <w:szCs w:val="24"/>
          <w:lang w:val="ro-RO"/>
        </w:rPr>
        <w:t>;</w:t>
      </w:r>
    </w:p>
    <w:p w:rsidR="00D50761" w:rsidRPr="00D50761" w:rsidRDefault="0083177E" w:rsidP="00950448">
      <w:pPr>
        <w:pStyle w:val="ListParagraph"/>
        <w:numPr>
          <w:ilvl w:val="1"/>
          <w:numId w:val="2"/>
        </w:numPr>
        <w:jc w:val="both"/>
        <w:rPr>
          <w:sz w:val="24"/>
          <w:szCs w:val="24"/>
          <w:lang w:val="ro-RO"/>
        </w:rPr>
      </w:pPr>
      <w:r w:rsidRPr="00D50761">
        <w:rPr>
          <w:sz w:val="24"/>
          <w:szCs w:val="24"/>
          <w:lang w:val="ro-RO"/>
        </w:rPr>
        <w:t>Pentru anul şcolar în curs</w:t>
      </w:r>
      <w:r w:rsidR="00495D96">
        <w:rPr>
          <w:sz w:val="24"/>
          <w:szCs w:val="24"/>
          <w:lang w:val="ro-RO"/>
        </w:rPr>
        <w:t>,</w:t>
      </w:r>
      <w:r w:rsidRPr="00D50761">
        <w:rPr>
          <w:sz w:val="24"/>
          <w:szCs w:val="24"/>
          <w:lang w:val="ro-RO"/>
        </w:rPr>
        <w:t xml:space="preserve"> 12 unităţi şcolare desfăşoară programul „Şcoală după şcoală”</w:t>
      </w:r>
      <w:r w:rsidR="00D50761" w:rsidRPr="00D50761">
        <w:rPr>
          <w:sz w:val="24"/>
          <w:szCs w:val="24"/>
          <w:lang w:val="ro-RO"/>
        </w:rPr>
        <w:t xml:space="preserve"> prin asociaţiile de părinţi în conformitate cu OM 5349/07.09.2011</w:t>
      </w:r>
      <w:r w:rsidR="00495D96">
        <w:rPr>
          <w:sz w:val="24"/>
          <w:szCs w:val="24"/>
          <w:lang w:val="ro-RO"/>
        </w:rPr>
        <w:t>;</w:t>
      </w:r>
    </w:p>
    <w:p w:rsidR="00D50761" w:rsidRPr="00D50761" w:rsidRDefault="00D50761" w:rsidP="00950448">
      <w:pPr>
        <w:pStyle w:val="ListParagraph"/>
        <w:numPr>
          <w:ilvl w:val="1"/>
          <w:numId w:val="2"/>
        </w:numPr>
        <w:jc w:val="both"/>
        <w:rPr>
          <w:sz w:val="24"/>
          <w:szCs w:val="24"/>
          <w:lang w:val="ro-RO"/>
        </w:rPr>
      </w:pPr>
      <w:r w:rsidRPr="00D50761">
        <w:rPr>
          <w:sz w:val="24"/>
          <w:szCs w:val="24"/>
          <w:lang w:val="ro-RO"/>
        </w:rPr>
        <w:t xml:space="preserve">La ciclul primar </w:t>
      </w:r>
      <w:r w:rsidRPr="00D50761">
        <w:rPr>
          <w:rFonts w:cs="Calibri"/>
          <w:sz w:val="24"/>
          <w:szCs w:val="24"/>
          <w:lang w:val="ro-RO"/>
        </w:rPr>
        <w:t>învățătorul clasei organizează o oră de consiliere săptămânal, oră în care poate sta la dispoziția părinților pe diferite teme care țin de educația elevilor, conform unei planificări prestabilite.</w:t>
      </w:r>
    </w:p>
    <w:p w:rsidR="00D50761" w:rsidRPr="00D50761" w:rsidRDefault="00D50761" w:rsidP="00950448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Începând cu acest an şcolar se vor susţine </w:t>
      </w:r>
      <w:r w:rsidRPr="00495D96">
        <w:rPr>
          <w:rFonts w:cs="Calibri"/>
          <w:b/>
          <w:sz w:val="24"/>
          <w:szCs w:val="24"/>
          <w:lang w:val="ro-RO"/>
        </w:rPr>
        <w:t>evaluări naţionale la clasele a II-a, a IV-a, a VI-a</w:t>
      </w:r>
      <w:r>
        <w:rPr>
          <w:rFonts w:cs="Calibri"/>
          <w:sz w:val="24"/>
          <w:szCs w:val="24"/>
          <w:lang w:val="ro-RO"/>
        </w:rPr>
        <w:t>.</w:t>
      </w:r>
    </w:p>
    <w:p w:rsidR="00D50761" w:rsidRPr="00D50761" w:rsidRDefault="00495D96" w:rsidP="00950448">
      <w:pPr>
        <w:pStyle w:val="ListParagraph"/>
        <w:numPr>
          <w:ilvl w:val="1"/>
          <w:numId w:val="2"/>
        </w:numPr>
        <w:jc w:val="both"/>
        <w:rPr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La c</w:t>
      </w:r>
      <w:r w:rsidR="00D50761">
        <w:rPr>
          <w:rFonts w:cs="Calibri"/>
          <w:sz w:val="24"/>
          <w:szCs w:val="24"/>
          <w:lang w:val="ro-RO"/>
        </w:rPr>
        <w:t>lasa a II-a se vor evalua competenţe fundamentale (scris, citit, matematică) în două zile consecutive;</w:t>
      </w:r>
    </w:p>
    <w:p w:rsidR="00D50761" w:rsidRPr="00D50761" w:rsidRDefault="00495D96" w:rsidP="00950448">
      <w:pPr>
        <w:pStyle w:val="ListParagraph"/>
        <w:numPr>
          <w:ilvl w:val="1"/>
          <w:numId w:val="2"/>
        </w:numPr>
        <w:jc w:val="both"/>
        <w:rPr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La c</w:t>
      </w:r>
      <w:r w:rsidR="00D50761">
        <w:rPr>
          <w:rFonts w:cs="Calibri"/>
          <w:sz w:val="24"/>
          <w:szCs w:val="24"/>
          <w:lang w:val="ro-RO"/>
        </w:rPr>
        <w:t>lasa a IV-a se va face o diagnoză a sistemului de învăţământ la nivel primar;</w:t>
      </w:r>
    </w:p>
    <w:p w:rsidR="00D50761" w:rsidRPr="00495D96" w:rsidRDefault="00495D96" w:rsidP="00950448">
      <w:pPr>
        <w:pStyle w:val="ListParagraph"/>
        <w:numPr>
          <w:ilvl w:val="1"/>
          <w:numId w:val="2"/>
        </w:numPr>
        <w:jc w:val="both"/>
        <w:rPr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La c</w:t>
      </w:r>
      <w:r w:rsidR="00D50761">
        <w:rPr>
          <w:rFonts w:cs="Calibri"/>
          <w:sz w:val="24"/>
          <w:szCs w:val="24"/>
          <w:lang w:val="ro-RO"/>
        </w:rPr>
        <w:t>lasa a VI-a subiectele vor viza înţelegerea unui text la prima vedere, elaborarea de texte care certifică înţelegerea mesajului din textul suport, competenţe la disciplinele matematică şi ştiinţe;</w:t>
      </w:r>
    </w:p>
    <w:p w:rsidR="00495D96" w:rsidRDefault="00495D96" w:rsidP="00495D96">
      <w:pPr>
        <w:pStyle w:val="ListParagraph"/>
        <w:ind w:left="1440"/>
        <w:jc w:val="both"/>
        <w:rPr>
          <w:sz w:val="24"/>
          <w:szCs w:val="24"/>
          <w:lang w:val="ro-RO"/>
        </w:rPr>
      </w:pPr>
    </w:p>
    <w:p w:rsidR="0030176F" w:rsidRPr="00D50761" w:rsidRDefault="0030176F" w:rsidP="00495D96">
      <w:pPr>
        <w:pStyle w:val="ListParagraph"/>
        <w:ind w:left="1440"/>
        <w:jc w:val="both"/>
        <w:rPr>
          <w:sz w:val="24"/>
          <w:szCs w:val="24"/>
          <w:lang w:val="ro-RO"/>
        </w:rPr>
      </w:pPr>
    </w:p>
    <w:p w:rsidR="00D50761" w:rsidRPr="00D50761" w:rsidRDefault="00D50761" w:rsidP="00950448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495D96">
        <w:rPr>
          <w:rFonts w:cs="Calibri"/>
          <w:b/>
          <w:sz w:val="24"/>
          <w:szCs w:val="24"/>
          <w:lang w:val="ro-RO"/>
        </w:rPr>
        <w:lastRenderedPageBreak/>
        <w:t>Evaluarea naţională la clasa a VIII-a</w:t>
      </w:r>
      <w:r>
        <w:rPr>
          <w:rFonts w:cs="Calibri"/>
          <w:sz w:val="24"/>
          <w:szCs w:val="24"/>
          <w:lang w:val="ro-RO"/>
        </w:rPr>
        <w:t xml:space="preserve"> şi examenul de </w:t>
      </w:r>
      <w:r w:rsidRPr="00495D96">
        <w:rPr>
          <w:rFonts w:cs="Calibri"/>
          <w:b/>
          <w:sz w:val="24"/>
          <w:szCs w:val="24"/>
          <w:lang w:val="ro-RO"/>
        </w:rPr>
        <w:t>Bacalaureat:</w:t>
      </w:r>
    </w:p>
    <w:p w:rsidR="00D50761" w:rsidRPr="00D50761" w:rsidRDefault="00D50761" w:rsidP="00950448">
      <w:pPr>
        <w:pStyle w:val="ListParagraph"/>
        <w:numPr>
          <w:ilvl w:val="1"/>
          <w:numId w:val="2"/>
        </w:numPr>
        <w:jc w:val="both"/>
        <w:rPr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Programele şcolare şi planificările orientative sunt disponibile pe site-ul Inspectoratului Şcolar Judeţean Constanţa </w:t>
      </w:r>
      <w:hyperlink r:id="rId7" w:history="1">
        <w:r w:rsidRPr="00C65A7C">
          <w:rPr>
            <w:rStyle w:val="Hyperlink"/>
            <w:rFonts w:cs="Calibri"/>
            <w:sz w:val="24"/>
            <w:szCs w:val="24"/>
            <w:lang w:val="ro-RO"/>
          </w:rPr>
          <w:t>www.isjcta.ro</w:t>
        </w:r>
      </w:hyperlink>
      <w:r>
        <w:rPr>
          <w:rFonts w:cs="Calibri"/>
          <w:sz w:val="24"/>
          <w:szCs w:val="24"/>
          <w:lang w:val="ro-RO"/>
        </w:rPr>
        <w:t xml:space="preserve">, modele de subiecte </w:t>
      </w:r>
      <w:hyperlink r:id="rId8" w:history="1">
        <w:r w:rsidRPr="00C65A7C">
          <w:rPr>
            <w:rStyle w:val="Hyperlink"/>
            <w:rFonts w:cs="Calibri"/>
            <w:sz w:val="24"/>
            <w:szCs w:val="24"/>
            <w:lang w:val="ro-RO"/>
          </w:rPr>
          <w:t>http://subiecte2013.edu.ro</w:t>
        </w:r>
      </w:hyperlink>
    </w:p>
    <w:p w:rsidR="00D50761" w:rsidRPr="00D50761" w:rsidRDefault="00D50761" w:rsidP="00950448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În acest an şcolar, Inspectoratul Şcolar Judeţean va promova proiectul de </w:t>
      </w:r>
      <w:r w:rsidR="00495D96" w:rsidRPr="00495D96">
        <w:rPr>
          <w:rFonts w:cs="Calibri"/>
          <w:b/>
          <w:sz w:val="24"/>
          <w:szCs w:val="24"/>
          <w:lang w:val="ro-RO"/>
        </w:rPr>
        <w:t>„V</w:t>
      </w:r>
      <w:r w:rsidRPr="00495D96">
        <w:rPr>
          <w:rFonts w:cs="Calibri"/>
          <w:b/>
          <w:sz w:val="24"/>
          <w:szCs w:val="24"/>
          <w:lang w:val="ro-RO"/>
        </w:rPr>
        <w:t>izite la domiciliu</w:t>
      </w:r>
      <w:r w:rsidR="00495D96" w:rsidRPr="00495D96">
        <w:rPr>
          <w:rFonts w:cs="Calibri"/>
          <w:b/>
          <w:sz w:val="24"/>
          <w:szCs w:val="24"/>
          <w:lang w:val="ro-RO"/>
        </w:rPr>
        <w:t>”</w:t>
      </w:r>
      <w:r>
        <w:rPr>
          <w:rFonts w:cs="Calibri"/>
          <w:sz w:val="24"/>
          <w:szCs w:val="24"/>
          <w:lang w:val="ro-RO"/>
        </w:rPr>
        <w:t xml:space="preserve"> în care vor fi implicate 9 unităţi şcolare din municipiul Constanţa şi 5 unităţi şcolare din judeţ:</w:t>
      </w:r>
    </w:p>
    <w:tbl>
      <w:tblPr>
        <w:tblW w:w="9828" w:type="dxa"/>
        <w:tblLayout w:type="fixed"/>
        <w:tblLook w:val="04A0"/>
      </w:tblPr>
      <w:tblGrid>
        <w:gridCol w:w="9828"/>
      </w:tblGrid>
      <w:tr w:rsidR="00D50761" w:rsidRPr="00D50761" w:rsidTr="00D50761">
        <w:tc>
          <w:tcPr>
            <w:tcW w:w="9828" w:type="dxa"/>
            <w:shd w:val="clear" w:color="auto" w:fill="auto"/>
          </w:tcPr>
          <w:p w:rsidR="00D50761" w:rsidRPr="00D50761" w:rsidRDefault="00D50761" w:rsidP="0095044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u w:val="single"/>
              </w:rPr>
            </w:pPr>
            <w:r w:rsidRPr="00D50761">
              <w:rPr>
                <w:rFonts w:cs="Calibri"/>
                <w:sz w:val="24"/>
                <w:szCs w:val="24"/>
                <w:u w:val="single"/>
              </w:rPr>
              <w:t>Unităţi şcolare municipiul Constanţa</w:t>
            </w:r>
          </w:p>
        </w:tc>
      </w:tr>
      <w:tr w:rsidR="00D50761" w:rsidRPr="00D50761" w:rsidTr="00D50761">
        <w:tc>
          <w:tcPr>
            <w:tcW w:w="9828" w:type="dxa"/>
            <w:shd w:val="clear" w:color="auto" w:fill="auto"/>
          </w:tcPr>
          <w:p w:rsidR="00D50761" w:rsidRPr="00D50761" w:rsidRDefault="00D50761" w:rsidP="0095044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50761">
              <w:rPr>
                <w:rFonts w:cs="Calibri"/>
                <w:sz w:val="24"/>
                <w:szCs w:val="24"/>
              </w:rPr>
              <w:t>Şc</w:t>
            </w:r>
            <w:r w:rsidR="0030176F">
              <w:rPr>
                <w:rFonts w:cs="Calibri"/>
                <w:sz w:val="24"/>
                <w:szCs w:val="24"/>
              </w:rPr>
              <w:t>oala Gimnazială Nr.</w:t>
            </w:r>
            <w:r w:rsidRPr="00D50761">
              <w:rPr>
                <w:rFonts w:cs="Calibri"/>
                <w:sz w:val="24"/>
                <w:szCs w:val="24"/>
              </w:rPr>
              <w:t xml:space="preserve">17 </w:t>
            </w:r>
            <w:r w:rsidR="0030176F">
              <w:rPr>
                <w:rFonts w:cs="Calibri"/>
                <w:sz w:val="24"/>
                <w:szCs w:val="24"/>
              </w:rPr>
              <w:t>„</w:t>
            </w:r>
            <w:r w:rsidRPr="00D50761">
              <w:rPr>
                <w:rFonts w:cs="Calibri"/>
                <w:i/>
                <w:sz w:val="24"/>
                <w:szCs w:val="24"/>
              </w:rPr>
              <w:t>I</w:t>
            </w:r>
            <w:r w:rsidR="0030176F">
              <w:rPr>
                <w:rFonts w:cs="Calibri"/>
                <w:i/>
                <w:sz w:val="24"/>
                <w:szCs w:val="24"/>
              </w:rPr>
              <w:t>on</w:t>
            </w:r>
            <w:r w:rsidRPr="00D50761">
              <w:rPr>
                <w:rFonts w:cs="Calibri"/>
                <w:i/>
                <w:sz w:val="24"/>
                <w:szCs w:val="24"/>
              </w:rPr>
              <w:t xml:space="preserve"> Minulescu</w:t>
            </w:r>
            <w:r w:rsidR="0030176F">
              <w:rPr>
                <w:rFonts w:cs="Calibri"/>
                <w:i/>
                <w:sz w:val="24"/>
                <w:szCs w:val="24"/>
              </w:rPr>
              <w:t>”</w:t>
            </w:r>
          </w:p>
        </w:tc>
      </w:tr>
      <w:tr w:rsidR="00D50761" w:rsidRPr="00D50761" w:rsidTr="00D50761">
        <w:tc>
          <w:tcPr>
            <w:tcW w:w="9828" w:type="dxa"/>
            <w:shd w:val="clear" w:color="auto" w:fill="auto"/>
          </w:tcPr>
          <w:p w:rsidR="00D50761" w:rsidRPr="00D50761" w:rsidRDefault="0030176F" w:rsidP="0095044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Şcoala Gimnazială Nr.</w:t>
            </w:r>
            <w:r w:rsidR="00D50761" w:rsidRPr="00D50761">
              <w:rPr>
                <w:rFonts w:cs="Calibri"/>
                <w:sz w:val="24"/>
                <w:szCs w:val="24"/>
              </w:rPr>
              <w:t xml:space="preserve">40  </w:t>
            </w:r>
            <w:r>
              <w:rPr>
                <w:rFonts w:cs="Calibri"/>
                <w:sz w:val="24"/>
                <w:szCs w:val="24"/>
              </w:rPr>
              <w:t>„</w:t>
            </w:r>
            <w:r>
              <w:rPr>
                <w:rFonts w:cs="Calibri"/>
                <w:i/>
                <w:sz w:val="24"/>
                <w:szCs w:val="24"/>
              </w:rPr>
              <w:t>Aurel</w:t>
            </w:r>
            <w:r w:rsidR="00D50761" w:rsidRPr="00D50761">
              <w:rPr>
                <w:rFonts w:cs="Calibri"/>
                <w:i/>
                <w:sz w:val="24"/>
                <w:szCs w:val="24"/>
              </w:rPr>
              <w:t xml:space="preserve"> Vlaicu</w:t>
            </w:r>
            <w:r>
              <w:rPr>
                <w:rFonts w:cs="Calibri"/>
                <w:i/>
                <w:sz w:val="24"/>
                <w:szCs w:val="24"/>
              </w:rPr>
              <w:t>”</w:t>
            </w:r>
          </w:p>
        </w:tc>
      </w:tr>
      <w:tr w:rsidR="00D50761" w:rsidRPr="00D50761" w:rsidTr="00D50761">
        <w:tc>
          <w:tcPr>
            <w:tcW w:w="9828" w:type="dxa"/>
            <w:shd w:val="clear" w:color="auto" w:fill="auto"/>
          </w:tcPr>
          <w:p w:rsidR="00D50761" w:rsidRPr="00D50761" w:rsidRDefault="00D50761" w:rsidP="0095044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50761">
              <w:rPr>
                <w:rFonts w:cs="Calibri"/>
                <w:sz w:val="24"/>
                <w:szCs w:val="24"/>
              </w:rPr>
              <w:t>Şc</w:t>
            </w:r>
            <w:r w:rsidR="0030176F">
              <w:rPr>
                <w:rFonts w:cs="Calibri"/>
                <w:sz w:val="24"/>
                <w:szCs w:val="24"/>
              </w:rPr>
              <w:t>oala Gimnazială Nr.3 „Ciprian</w:t>
            </w:r>
            <w:r w:rsidRPr="00D50761">
              <w:rPr>
                <w:rFonts w:cs="Calibri"/>
                <w:sz w:val="24"/>
                <w:szCs w:val="24"/>
              </w:rPr>
              <w:t xml:space="preserve"> Porumbescu</w:t>
            </w:r>
            <w:r w:rsidR="0030176F">
              <w:rPr>
                <w:rFonts w:cs="Calibri"/>
                <w:sz w:val="24"/>
                <w:szCs w:val="24"/>
              </w:rPr>
              <w:t>”</w:t>
            </w:r>
          </w:p>
        </w:tc>
      </w:tr>
      <w:tr w:rsidR="00D50761" w:rsidRPr="00D50761" w:rsidTr="00D50761">
        <w:tc>
          <w:tcPr>
            <w:tcW w:w="9828" w:type="dxa"/>
            <w:shd w:val="clear" w:color="auto" w:fill="auto"/>
          </w:tcPr>
          <w:p w:rsidR="00D50761" w:rsidRPr="00D50761" w:rsidRDefault="00D50761" w:rsidP="0095044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50761">
              <w:rPr>
                <w:rFonts w:cs="Calibri"/>
                <w:sz w:val="24"/>
                <w:szCs w:val="24"/>
              </w:rPr>
              <w:t>Şc</w:t>
            </w:r>
            <w:r w:rsidR="0030176F">
              <w:rPr>
                <w:rFonts w:cs="Calibri"/>
                <w:sz w:val="24"/>
                <w:szCs w:val="24"/>
              </w:rPr>
              <w:t>oala Gimnazială Nr.</w:t>
            </w:r>
            <w:r w:rsidRPr="00D50761">
              <w:rPr>
                <w:rFonts w:cs="Calibri"/>
                <w:sz w:val="24"/>
                <w:szCs w:val="24"/>
              </w:rPr>
              <w:t xml:space="preserve">10  </w:t>
            </w:r>
            <w:r w:rsidR="0030176F">
              <w:rPr>
                <w:rFonts w:cs="Calibri"/>
                <w:sz w:val="24"/>
                <w:szCs w:val="24"/>
              </w:rPr>
              <w:t>„</w:t>
            </w:r>
            <w:r w:rsidR="0030176F">
              <w:rPr>
                <w:rFonts w:cs="Calibri"/>
                <w:i/>
                <w:sz w:val="24"/>
                <w:szCs w:val="24"/>
              </w:rPr>
              <w:t>Mihail</w:t>
            </w:r>
            <w:r w:rsidRPr="00D50761">
              <w:rPr>
                <w:rFonts w:cs="Calibri"/>
                <w:i/>
                <w:sz w:val="24"/>
                <w:szCs w:val="24"/>
              </w:rPr>
              <w:t xml:space="preserve"> Koiciu</w:t>
            </w:r>
            <w:r w:rsidR="0030176F">
              <w:rPr>
                <w:rFonts w:cs="Calibri"/>
                <w:i/>
                <w:sz w:val="24"/>
                <w:szCs w:val="24"/>
              </w:rPr>
              <w:t>”</w:t>
            </w:r>
          </w:p>
        </w:tc>
      </w:tr>
      <w:tr w:rsidR="00D50761" w:rsidRPr="00D50761" w:rsidTr="00D50761">
        <w:tc>
          <w:tcPr>
            <w:tcW w:w="9828" w:type="dxa"/>
            <w:shd w:val="clear" w:color="auto" w:fill="auto"/>
          </w:tcPr>
          <w:p w:rsidR="00D50761" w:rsidRPr="00D50761" w:rsidRDefault="00D50761" w:rsidP="0095044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50761">
              <w:rPr>
                <w:rFonts w:cs="Calibri"/>
                <w:sz w:val="24"/>
                <w:szCs w:val="24"/>
              </w:rPr>
              <w:t>Şc</w:t>
            </w:r>
            <w:r w:rsidR="0030176F">
              <w:rPr>
                <w:rFonts w:cs="Calibri"/>
                <w:sz w:val="24"/>
                <w:szCs w:val="24"/>
              </w:rPr>
              <w:t>oala Gimnazială Nr.</w:t>
            </w:r>
            <w:r w:rsidRPr="00D50761">
              <w:rPr>
                <w:rFonts w:cs="Calibri"/>
                <w:sz w:val="24"/>
                <w:szCs w:val="24"/>
              </w:rPr>
              <w:t xml:space="preserve">6  </w:t>
            </w:r>
            <w:r w:rsidR="0030176F">
              <w:rPr>
                <w:rFonts w:cs="Calibri"/>
                <w:sz w:val="24"/>
                <w:szCs w:val="24"/>
              </w:rPr>
              <w:t>„</w:t>
            </w:r>
            <w:r w:rsidR="0030176F">
              <w:rPr>
                <w:rFonts w:cs="Calibri"/>
                <w:i/>
                <w:sz w:val="24"/>
                <w:szCs w:val="24"/>
              </w:rPr>
              <w:t>Nicolae</w:t>
            </w:r>
            <w:r w:rsidRPr="00D50761">
              <w:rPr>
                <w:rFonts w:cs="Calibri"/>
                <w:i/>
                <w:sz w:val="24"/>
                <w:szCs w:val="24"/>
              </w:rPr>
              <w:t xml:space="preserve"> Titulescu</w:t>
            </w:r>
            <w:r w:rsidR="0030176F">
              <w:rPr>
                <w:rFonts w:cs="Calibri"/>
                <w:i/>
                <w:sz w:val="24"/>
                <w:szCs w:val="24"/>
              </w:rPr>
              <w:t>”</w:t>
            </w:r>
          </w:p>
        </w:tc>
      </w:tr>
      <w:tr w:rsidR="00D50761" w:rsidRPr="00D50761" w:rsidTr="00D50761">
        <w:tc>
          <w:tcPr>
            <w:tcW w:w="9828" w:type="dxa"/>
            <w:shd w:val="clear" w:color="auto" w:fill="auto"/>
          </w:tcPr>
          <w:p w:rsidR="00D50761" w:rsidRPr="00D50761" w:rsidRDefault="00D50761" w:rsidP="0095044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50761">
              <w:rPr>
                <w:rFonts w:cs="Calibri"/>
                <w:sz w:val="24"/>
                <w:szCs w:val="24"/>
              </w:rPr>
              <w:t>Şc</w:t>
            </w:r>
            <w:r w:rsidR="0030176F">
              <w:rPr>
                <w:rFonts w:cs="Calibri"/>
                <w:sz w:val="24"/>
                <w:szCs w:val="24"/>
              </w:rPr>
              <w:t>oala Gimnazială Nr.</w:t>
            </w:r>
            <w:r w:rsidRPr="00D50761">
              <w:rPr>
                <w:rFonts w:cs="Calibri"/>
                <w:sz w:val="24"/>
                <w:szCs w:val="24"/>
              </w:rPr>
              <w:t xml:space="preserve">7  </w:t>
            </w:r>
            <w:r w:rsidR="0030176F">
              <w:rPr>
                <w:rFonts w:cs="Calibri"/>
                <w:sz w:val="24"/>
                <w:szCs w:val="24"/>
              </w:rPr>
              <w:t>„</w:t>
            </w:r>
            <w:r w:rsidR="0030176F">
              <w:rPr>
                <w:rFonts w:cs="Calibri"/>
                <w:i/>
                <w:sz w:val="24"/>
                <w:szCs w:val="24"/>
              </w:rPr>
              <w:t>Remus</w:t>
            </w:r>
            <w:r w:rsidRPr="00D50761">
              <w:rPr>
                <w:rFonts w:cs="Calibri"/>
                <w:i/>
                <w:sz w:val="24"/>
                <w:szCs w:val="24"/>
              </w:rPr>
              <w:t xml:space="preserve"> Opreanu</w:t>
            </w:r>
            <w:r w:rsidR="0030176F">
              <w:rPr>
                <w:rFonts w:cs="Calibri"/>
                <w:i/>
                <w:sz w:val="24"/>
                <w:szCs w:val="24"/>
              </w:rPr>
              <w:t>”</w:t>
            </w:r>
            <w:r w:rsidRPr="00D50761">
              <w:rPr>
                <w:rFonts w:cs="Calibri"/>
                <w:sz w:val="24"/>
                <w:szCs w:val="24"/>
              </w:rPr>
              <w:t xml:space="preserve">               </w:t>
            </w:r>
          </w:p>
        </w:tc>
      </w:tr>
      <w:tr w:rsidR="00D50761" w:rsidRPr="00D50761" w:rsidTr="00D50761">
        <w:tc>
          <w:tcPr>
            <w:tcW w:w="9828" w:type="dxa"/>
            <w:shd w:val="clear" w:color="auto" w:fill="auto"/>
          </w:tcPr>
          <w:p w:rsidR="00D50761" w:rsidRPr="00D50761" w:rsidRDefault="00D50761" w:rsidP="0095044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50761">
              <w:rPr>
                <w:rFonts w:cs="Calibri"/>
                <w:sz w:val="24"/>
                <w:szCs w:val="24"/>
              </w:rPr>
              <w:t>Şc</w:t>
            </w:r>
            <w:r w:rsidR="0030176F">
              <w:rPr>
                <w:rFonts w:cs="Calibri"/>
                <w:sz w:val="24"/>
                <w:szCs w:val="24"/>
              </w:rPr>
              <w:t>oala Gimnazială Nr.</w:t>
            </w:r>
            <w:r w:rsidRPr="00D50761">
              <w:rPr>
                <w:rFonts w:cs="Calibri"/>
                <w:sz w:val="24"/>
                <w:szCs w:val="24"/>
              </w:rPr>
              <w:t xml:space="preserve">22  </w:t>
            </w:r>
            <w:r w:rsidR="0030176F">
              <w:rPr>
                <w:rFonts w:cs="Calibri"/>
                <w:sz w:val="24"/>
                <w:szCs w:val="24"/>
              </w:rPr>
              <w:t>„</w:t>
            </w:r>
            <w:r w:rsidRPr="00D50761">
              <w:rPr>
                <w:rFonts w:cs="Calibri"/>
                <w:i/>
                <w:sz w:val="24"/>
                <w:szCs w:val="24"/>
              </w:rPr>
              <w:t>I. C. Brătianu</w:t>
            </w:r>
            <w:r w:rsidR="0030176F">
              <w:rPr>
                <w:rFonts w:cs="Calibri"/>
                <w:i/>
                <w:sz w:val="24"/>
                <w:szCs w:val="24"/>
              </w:rPr>
              <w:t>”</w:t>
            </w:r>
          </w:p>
        </w:tc>
      </w:tr>
      <w:tr w:rsidR="00D50761" w:rsidRPr="00D50761" w:rsidTr="00D50761">
        <w:tc>
          <w:tcPr>
            <w:tcW w:w="9828" w:type="dxa"/>
            <w:shd w:val="clear" w:color="auto" w:fill="auto"/>
          </w:tcPr>
          <w:p w:rsidR="00D50761" w:rsidRPr="00D50761" w:rsidRDefault="00D50761" w:rsidP="0095044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50761">
              <w:rPr>
                <w:rFonts w:cs="Calibri"/>
                <w:sz w:val="24"/>
                <w:szCs w:val="24"/>
              </w:rPr>
              <w:t>Şc</w:t>
            </w:r>
            <w:r w:rsidR="0030176F">
              <w:rPr>
                <w:rFonts w:cs="Calibri"/>
                <w:sz w:val="24"/>
                <w:szCs w:val="24"/>
              </w:rPr>
              <w:t>oala</w:t>
            </w:r>
            <w:r w:rsidRPr="00D50761">
              <w:rPr>
                <w:rFonts w:cs="Calibri"/>
                <w:sz w:val="24"/>
                <w:szCs w:val="24"/>
              </w:rPr>
              <w:t xml:space="preserve"> Gimnazială Nr.</w:t>
            </w:r>
            <w:r w:rsidR="0030176F">
              <w:rPr>
                <w:rFonts w:cs="Calibri"/>
                <w:sz w:val="24"/>
                <w:szCs w:val="24"/>
              </w:rPr>
              <w:t>33 „</w:t>
            </w:r>
            <w:r w:rsidRPr="00D50761">
              <w:rPr>
                <w:rFonts w:cs="Calibri"/>
                <w:sz w:val="24"/>
                <w:szCs w:val="24"/>
              </w:rPr>
              <w:t xml:space="preserve"> </w:t>
            </w:r>
            <w:r w:rsidR="0030176F">
              <w:rPr>
                <w:rFonts w:cs="Calibri"/>
                <w:i/>
                <w:sz w:val="24"/>
                <w:szCs w:val="24"/>
              </w:rPr>
              <w:t xml:space="preserve">Anghel </w:t>
            </w:r>
            <w:r w:rsidRPr="00D50761">
              <w:rPr>
                <w:rFonts w:cs="Calibri"/>
                <w:i/>
                <w:sz w:val="24"/>
                <w:szCs w:val="24"/>
              </w:rPr>
              <w:t>Saligny</w:t>
            </w:r>
            <w:r w:rsidR="0030176F">
              <w:rPr>
                <w:rFonts w:cs="Calibri"/>
                <w:i/>
                <w:sz w:val="24"/>
                <w:szCs w:val="24"/>
              </w:rPr>
              <w:t>”</w:t>
            </w:r>
          </w:p>
        </w:tc>
      </w:tr>
      <w:tr w:rsidR="00D50761" w:rsidRPr="00D50761" w:rsidTr="00D50761">
        <w:tc>
          <w:tcPr>
            <w:tcW w:w="9828" w:type="dxa"/>
            <w:shd w:val="clear" w:color="auto" w:fill="auto"/>
          </w:tcPr>
          <w:p w:rsidR="00D50761" w:rsidRPr="00D50761" w:rsidRDefault="00D50761" w:rsidP="0095044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50761">
              <w:rPr>
                <w:rFonts w:cs="Calibri"/>
                <w:sz w:val="24"/>
                <w:szCs w:val="24"/>
              </w:rPr>
              <w:t>Şc</w:t>
            </w:r>
            <w:r w:rsidR="0030176F">
              <w:rPr>
                <w:rFonts w:cs="Calibri"/>
                <w:sz w:val="24"/>
                <w:szCs w:val="24"/>
              </w:rPr>
              <w:t>oala Gimnazială Nr.</w:t>
            </w:r>
            <w:r w:rsidRPr="00D50761">
              <w:rPr>
                <w:rFonts w:cs="Calibri"/>
                <w:sz w:val="24"/>
                <w:szCs w:val="24"/>
              </w:rPr>
              <w:t>37</w:t>
            </w:r>
          </w:p>
        </w:tc>
      </w:tr>
      <w:tr w:rsidR="00D50761" w:rsidRPr="002A552A" w:rsidTr="00D50761">
        <w:tc>
          <w:tcPr>
            <w:tcW w:w="9828" w:type="dxa"/>
            <w:shd w:val="clear" w:color="auto" w:fill="auto"/>
          </w:tcPr>
          <w:p w:rsidR="00D50761" w:rsidRDefault="00D50761" w:rsidP="0095044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D50761" w:rsidRPr="00D50761" w:rsidRDefault="00D50761" w:rsidP="0095044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u w:val="single"/>
              </w:rPr>
            </w:pPr>
            <w:r w:rsidRPr="00D50761">
              <w:rPr>
                <w:rFonts w:cs="Calibri"/>
                <w:sz w:val="24"/>
                <w:szCs w:val="24"/>
                <w:u w:val="single"/>
              </w:rPr>
              <w:t>Unităţi şcolare judeţ</w:t>
            </w:r>
          </w:p>
        </w:tc>
      </w:tr>
      <w:tr w:rsidR="00D50761" w:rsidRPr="002A552A" w:rsidTr="00D50761">
        <w:tc>
          <w:tcPr>
            <w:tcW w:w="9828" w:type="dxa"/>
            <w:shd w:val="clear" w:color="auto" w:fill="auto"/>
          </w:tcPr>
          <w:p w:rsidR="00D50761" w:rsidRPr="00D50761" w:rsidRDefault="00D50761" w:rsidP="0095044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50761">
              <w:rPr>
                <w:rFonts w:cs="Calibri"/>
                <w:sz w:val="24"/>
                <w:szCs w:val="24"/>
              </w:rPr>
              <w:t>Liceul T</w:t>
            </w:r>
            <w:r w:rsidR="0030176F">
              <w:rPr>
                <w:rFonts w:cs="Calibri"/>
                <w:sz w:val="24"/>
                <w:szCs w:val="24"/>
              </w:rPr>
              <w:t>eoretic Mihail</w:t>
            </w:r>
            <w:r w:rsidRPr="00D50761">
              <w:rPr>
                <w:rFonts w:cs="Calibri"/>
                <w:sz w:val="24"/>
                <w:szCs w:val="24"/>
              </w:rPr>
              <w:t xml:space="preserve"> Kogălniceanu</w:t>
            </w:r>
          </w:p>
        </w:tc>
      </w:tr>
      <w:tr w:rsidR="00D50761" w:rsidRPr="002A552A" w:rsidTr="00D50761">
        <w:tc>
          <w:tcPr>
            <w:tcW w:w="9828" w:type="dxa"/>
            <w:shd w:val="clear" w:color="auto" w:fill="auto"/>
          </w:tcPr>
          <w:p w:rsidR="00D50761" w:rsidRPr="00D50761" w:rsidRDefault="00D50761" w:rsidP="0095044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50761">
              <w:rPr>
                <w:rFonts w:cs="Calibri"/>
                <w:sz w:val="24"/>
                <w:szCs w:val="24"/>
              </w:rPr>
              <w:t>Şc</w:t>
            </w:r>
            <w:r w:rsidR="0030176F">
              <w:rPr>
                <w:rFonts w:cs="Calibri"/>
                <w:sz w:val="24"/>
                <w:szCs w:val="24"/>
              </w:rPr>
              <w:t>oala</w:t>
            </w:r>
            <w:r w:rsidRPr="00D50761">
              <w:rPr>
                <w:rFonts w:cs="Calibri"/>
                <w:sz w:val="24"/>
                <w:szCs w:val="24"/>
              </w:rPr>
              <w:t xml:space="preserve"> Gimnazială Lumina</w:t>
            </w:r>
          </w:p>
        </w:tc>
      </w:tr>
      <w:tr w:rsidR="00D50761" w:rsidRPr="002A552A" w:rsidTr="00D50761">
        <w:tc>
          <w:tcPr>
            <w:tcW w:w="9828" w:type="dxa"/>
            <w:shd w:val="clear" w:color="auto" w:fill="auto"/>
          </w:tcPr>
          <w:p w:rsidR="00D50761" w:rsidRPr="00D50761" w:rsidRDefault="00D50761" w:rsidP="0095044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50761">
              <w:rPr>
                <w:rFonts w:cs="Calibri"/>
                <w:sz w:val="24"/>
                <w:szCs w:val="24"/>
              </w:rPr>
              <w:t>Şc</w:t>
            </w:r>
            <w:r w:rsidR="0030176F">
              <w:rPr>
                <w:rFonts w:cs="Calibri"/>
                <w:sz w:val="24"/>
                <w:szCs w:val="24"/>
              </w:rPr>
              <w:t>oala Gimnazială Nr.</w:t>
            </w:r>
            <w:r w:rsidRPr="00D50761">
              <w:rPr>
                <w:rFonts w:cs="Calibri"/>
                <w:sz w:val="24"/>
                <w:szCs w:val="24"/>
              </w:rPr>
              <w:t xml:space="preserve">1 Peştera               </w:t>
            </w:r>
          </w:p>
        </w:tc>
      </w:tr>
      <w:tr w:rsidR="00D50761" w:rsidRPr="002A552A" w:rsidTr="00D50761">
        <w:tc>
          <w:tcPr>
            <w:tcW w:w="9828" w:type="dxa"/>
            <w:shd w:val="clear" w:color="auto" w:fill="auto"/>
          </w:tcPr>
          <w:p w:rsidR="00D50761" w:rsidRPr="00D50761" w:rsidRDefault="00D50761" w:rsidP="0095044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50761">
              <w:rPr>
                <w:rFonts w:cs="Calibri"/>
                <w:sz w:val="24"/>
                <w:szCs w:val="24"/>
              </w:rPr>
              <w:t>Liceul Tehnologic Cobadin</w:t>
            </w:r>
          </w:p>
        </w:tc>
      </w:tr>
      <w:tr w:rsidR="00D50761" w:rsidRPr="002A552A" w:rsidTr="00D50761">
        <w:tc>
          <w:tcPr>
            <w:tcW w:w="9828" w:type="dxa"/>
            <w:shd w:val="clear" w:color="auto" w:fill="auto"/>
          </w:tcPr>
          <w:p w:rsidR="00D50761" w:rsidRPr="00D50761" w:rsidRDefault="00D50761" w:rsidP="0095044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50761">
              <w:rPr>
                <w:rFonts w:cs="Calibri"/>
                <w:sz w:val="24"/>
                <w:szCs w:val="24"/>
              </w:rPr>
              <w:t xml:space="preserve">Liceul </w:t>
            </w:r>
            <w:r w:rsidR="0030176F">
              <w:rPr>
                <w:rFonts w:cs="Calibri"/>
                <w:sz w:val="24"/>
                <w:szCs w:val="24"/>
              </w:rPr>
              <w:t>„</w:t>
            </w:r>
            <w:r w:rsidRPr="00D50761">
              <w:rPr>
                <w:rFonts w:cs="Calibri"/>
                <w:sz w:val="24"/>
                <w:szCs w:val="24"/>
              </w:rPr>
              <w:t>Regele Carol I</w:t>
            </w:r>
            <w:r w:rsidR="0030176F">
              <w:rPr>
                <w:rFonts w:cs="Calibri"/>
                <w:sz w:val="24"/>
                <w:szCs w:val="24"/>
              </w:rPr>
              <w:t>”</w:t>
            </w:r>
            <w:r w:rsidRPr="00D50761">
              <w:rPr>
                <w:rFonts w:cs="Calibri"/>
                <w:sz w:val="24"/>
                <w:szCs w:val="24"/>
              </w:rPr>
              <w:t xml:space="preserve">   Ostrov</w:t>
            </w:r>
          </w:p>
        </w:tc>
      </w:tr>
      <w:tr w:rsidR="00D50761" w:rsidRPr="002A552A" w:rsidTr="00D50761">
        <w:tc>
          <w:tcPr>
            <w:tcW w:w="9828" w:type="dxa"/>
            <w:shd w:val="clear" w:color="auto" w:fill="auto"/>
          </w:tcPr>
          <w:p w:rsidR="00D50761" w:rsidRPr="00D50761" w:rsidRDefault="00D50761" w:rsidP="0095044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D50761" w:rsidRDefault="002F0880" w:rsidP="00950448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În acest an şcolar s-a înfiinţat </w:t>
      </w:r>
      <w:r w:rsidRPr="00495D96">
        <w:rPr>
          <w:b/>
          <w:sz w:val="24"/>
          <w:szCs w:val="24"/>
          <w:lang w:val="ro-RO"/>
        </w:rPr>
        <w:t>Centrul de excelenţă</w:t>
      </w:r>
      <w:r>
        <w:rPr>
          <w:sz w:val="24"/>
          <w:szCs w:val="24"/>
          <w:lang w:val="ro-RO"/>
        </w:rPr>
        <w:t xml:space="preserve"> pentru disciplinele: matematică, limba şi literatura română, fizică, chimie, biologie, geografie, limbi străine, informatică.</w:t>
      </w:r>
    </w:p>
    <w:p w:rsidR="0030176F" w:rsidRPr="00D50761" w:rsidRDefault="0030176F" w:rsidP="00950448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 fost prezentat </w:t>
      </w:r>
      <w:r w:rsidRPr="0030176F">
        <w:rPr>
          <w:b/>
          <w:sz w:val="24"/>
          <w:szCs w:val="24"/>
          <w:lang w:val="ro-RO"/>
        </w:rPr>
        <w:t>Calendarul concursurilor pe discipline</w:t>
      </w:r>
      <w:r>
        <w:rPr>
          <w:sz w:val="24"/>
          <w:szCs w:val="24"/>
          <w:lang w:val="ro-RO"/>
        </w:rPr>
        <w:t xml:space="preserve"> inițiate și organizate de Inspectoratul Școlar Județean Constanța. </w:t>
      </w:r>
    </w:p>
    <w:p w:rsidR="00D50761" w:rsidRDefault="00D50761" w:rsidP="00950448">
      <w:pPr>
        <w:spacing w:after="0" w:line="240" w:lineRule="auto"/>
        <w:jc w:val="both"/>
        <w:rPr>
          <w:rFonts w:cs="Calibri"/>
          <w:sz w:val="28"/>
          <w:szCs w:val="28"/>
        </w:rPr>
      </w:pPr>
    </w:p>
    <w:p w:rsidR="00495D96" w:rsidRPr="0030176F" w:rsidRDefault="00495D96" w:rsidP="00495D96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0176F">
        <w:rPr>
          <w:rFonts w:cs="Calibri"/>
          <w:b/>
          <w:sz w:val="24"/>
          <w:szCs w:val="24"/>
        </w:rPr>
        <w:t>Inspector şcolar,</w:t>
      </w:r>
    </w:p>
    <w:p w:rsidR="00495D96" w:rsidRPr="00495D96" w:rsidRDefault="00495D96" w:rsidP="00495D96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495D96">
        <w:rPr>
          <w:rFonts w:cs="Calibri"/>
          <w:sz w:val="24"/>
          <w:szCs w:val="24"/>
        </w:rPr>
        <w:t>Prof. Anca Iuliana Dragomir</w:t>
      </w:r>
    </w:p>
    <w:p w:rsidR="00D50761" w:rsidRPr="000A0DEB" w:rsidRDefault="00D50761" w:rsidP="00950448">
      <w:pPr>
        <w:pStyle w:val="ListParagraph"/>
        <w:jc w:val="both"/>
        <w:rPr>
          <w:sz w:val="24"/>
          <w:szCs w:val="24"/>
          <w:lang w:val="ro-RO"/>
        </w:rPr>
      </w:pPr>
    </w:p>
    <w:p w:rsidR="002F4402" w:rsidRDefault="002F4402" w:rsidP="00950448">
      <w:pPr>
        <w:jc w:val="both"/>
        <w:rPr>
          <w:szCs w:val="24"/>
        </w:rPr>
      </w:pPr>
    </w:p>
    <w:p w:rsidR="002F4402" w:rsidRPr="00DD2274" w:rsidRDefault="002F4402" w:rsidP="00950448">
      <w:pPr>
        <w:jc w:val="both"/>
        <w:rPr>
          <w:szCs w:val="24"/>
        </w:rPr>
      </w:pPr>
    </w:p>
    <w:sectPr w:rsidR="002F4402" w:rsidRPr="00DD2274" w:rsidSect="005579F4">
      <w:headerReference w:type="default" r:id="rId9"/>
      <w:footerReference w:type="default" r:id="rId10"/>
      <w:pgSz w:w="11906" w:h="16838"/>
      <w:pgMar w:top="1134" w:right="1134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861" w:rsidRDefault="00ED6861" w:rsidP="00A07F3F">
      <w:pPr>
        <w:spacing w:after="0" w:line="240" w:lineRule="auto"/>
      </w:pPr>
      <w:r>
        <w:separator/>
      </w:r>
    </w:p>
  </w:endnote>
  <w:endnote w:type="continuationSeparator" w:id="1">
    <w:p w:rsidR="00ED6861" w:rsidRDefault="00ED6861" w:rsidP="00A0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3F" w:rsidRDefault="002F2682" w:rsidP="00A07F3F">
    <w:pPr>
      <w:spacing w:after="0" w:line="220" w:lineRule="exact"/>
      <w:jc w:val="right"/>
      <w:rPr>
        <w:sz w:val="16"/>
        <w:szCs w:val="16"/>
      </w:rPr>
    </w:pPr>
    <w:r>
      <w:rPr>
        <w:noProof/>
        <w:sz w:val="16"/>
        <w:szCs w:val="16"/>
        <w:lang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91.15pt;margin-top:7.7pt;width:190.5pt;height:0;z-index:251657728" o:connectortype="straight"/>
      </w:pict>
    </w:r>
  </w:p>
  <w:p w:rsidR="00A07F3F" w:rsidRPr="00FF0EEB" w:rsidRDefault="00A07F3F" w:rsidP="00A07F3F">
    <w:pPr>
      <w:spacing w:after="0" w:line="220" w:lineRule="exact"/>
      <w:jc w:val="right"/>
      <w:rPr>
        <w:sz w:val="16"/>
        <w:szCs w:val="16"/>
      </w:rPr>
    </w:pPr>
    <w:r w:rsidRPr="00FF0EEB">
      <w:rPr>
        <w:sz w:val="16"/>
        <w:szCs w:val="16"/>
      </w:rPr>
      <w:t xml:space="preserve">Str. Mihai Eminescu nr. 11, </w:t>
    </w:r>
    <w:smartTag w:uri="urn:schemas-microsoft-com:office:smarttags" w:element="City">
      <w:smartTag w:uri="urn:schemas-microsoft-com:office:smarttags" w:element="place">
        <w:r w:rsidRPr="00FF0EEB">
          <w:rPr>
            <w:sz w:val="16"/>
            <w:szCs w:val="16"/>
          </w:rPr>
          <w:t>Constanţa</w:t>
        </w:r>
      </w:smartTag>
    </w:smartTag>
    <w:r w:rsidRPr="00FF0EEB">
      <w:rPr>
        <w:sz w:val="16"/>
        <w:szCs w:val="16"/>
      </w:rPr>
      <w:t>, cod poştal: 900664</w:t>
    </w:r>
  </w:p>
  <w:p w:rsidR="00A07F3F" w:rsidRPr="00FF0EEB" w:rsidRDefault="00A07F3F" w:rsidP="00A07F3F">
    <w:pPr>
      <w:spacing w:after="0" w:line="220" w:lineRule="exact"/>
      <w:jc w:val="right"/>
      <w:rPr>
        <w:sz w:val="16"/>
        <w:szCs w:val="16"/>
        <w:lang w:val="pt-BR"/>
      </w:rPr>
    </w:pPr>
    <w:r w:rsidRPr="00FF0EEB">
      <w:rPr>
        <w:sz w:val="16"/>
        <w:szCs w:val="16"/>
        <w:lang w:val="pt-BR"/>
      </w:rPr>
      <w:t>Tel.: +40 (0)241 611 913,  Fax: +40 (0)241 618 880</w:t>
    </w:r>
  </w:p>
  <w:p w:rsidR="00A07F3F" w:rsidRPr="005579F4" w:rsidRDefault="00A07F3F" w:rsidP="005579F4">
    <w:pPr>
      <w:pStyle w:val="Footer"/>
      <w:jc w:val="right"/>
      <w:rPr>
        <w:sz w:val="16"/>
        <w:szCs w:val="16"/>
      </w:rPr>
    </w:pPr>
    <w:r w:rsidRPr="00FF0EEB">
      <w:rPr>
        <w:sz w:val="16"/>
        <w:szCs w:val="16"/>
        <w:lang w:val="pt-BR"/>
      </w:rPr>
      <w:t>www.isjcta.ro   e-mail: isj-cta@isjcta.ro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861" w:rsidRDefault="00ED6861" w:rsidP="00A07F3F">
      <w:pPr>
        <w:spacing w:after="0" w:line="240" w:lineRule="auto"/>
      </w:pPr>
      <w:r>
        <w:separator/>
      </w:r>
    </w:p>
  </w:footnote>
  <w:footnote w:type="continuationSeparator" w:id="1">
    <w:p w:rsidR="00ED6861" w:rsidRDefault="00ED6861" w:rsidP="00A07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3F" w:rsidRDefault="00BF31E0">
    <w:pPr>
      <w:pStyle w:val="Header"/>
    </w:pPr>
    <w:r>
      <w:rPr>
        <w:noProof/>
        <w:lang w:val="en-US"/>
      </w:rPr>
      <w:drawing>
        <wp:inline distT="0" distB="0" distL="0" distR="0">
          <wp:extent cx="6115050" cy="9144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6593"/>
    <w:multiLevelType w:val="hybridMultilevel"/>
    <w:tmpl w:val="8A14AA86"/>
    <w:lvl w:ilvl="0" w:tplc="59BCE2BA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73384"/>
    <w:multiLevelType w:val="hybridMultilevel"/>
    <w:tmpl w:val="2C0E7AC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930A5"/>
    <w:multiLevelType w:val="hybridMultilevel"/>
    <w:tmpl w:val="266C7D14"/>
    <w:lvl w:ilvl="0" w:tplc="519648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07F3F"/>
    <w:rsid w:val="000B6EF8"/>
    <w:rsid w:val="000B78D4"/>
    <w:rsid w:val="00144B13"/>
    <w:rsid w:val="00164664"/>
    <w:rsid w:val="0017506C"/>
    <w:rsid w:val="001E4B2D"/>
    <w:rsid w:val="00217D1D"/>
    <w:rsid w:val="0022487F"/>
    <w:rsid w:val="00251ECD"/>
    <w:rsid w:val="002F0880"/>
    <w:rsid w:val="002F2682"/>
    <w:rsid w:val="002F4402"/>
    <w:rsid w:val="0030176F"/>
    <w:rsid w:val="0034134A"/>
    <w:rsid w:val="00490891"/>
    <w:rsid w:val="00495D96"/>
    <w:rsid w:val="004A1487"/>
    <w:rsid w:val="004A1514"/>
    <w:rsid w:val="004B7FFB"/>
    <w:rsid w:val="0053580E"/>
    <w:rsid w:val="00535BE9"/>
    <w:rsid w:val="00557562"/>
    <w:rsid w:val="005579F4"/>
    <w:rsid w:val="00580A3D"/>
    <w:rsid w:val="005920E1"/>
    <w:rsid w:val="00647F2F"/>
    <w:rsid w:val="006A5397"/>
    <w:rsid w:val="007022F9"/>
    <w:rsid w:val="00706941"/>
    <w:rsid w:val="00815332"/>
    <w:rsid w:val="0083177E"/>
    <w:rsid w:val="008436F4"/>
    <w:rsid w:val="008728EF"/>
    <w:rsid w:val="00950448"/>
    <w:rsid w:val="009B55CA"/>
    <w:rsid w:val="00A07F3F"/>
    <w:rsid w:val="00AA2119"/>
    <w:rsid w:val="00AC4F67"/>
    <w:rsid w:val="00BD322B"/>
    <w:rsid w:val="00BF31E0"/>
    <w:rsid w:val="00C2317E"/>
    <w:rsid w:val="00C32FAE"/>
    <w:rsid w:val="00CA12DA"/>
    <w:rsid w:val="00CB4CAC"/>
    <w:rsid w:val="00CF4DF8"/>
    <w:rsid w:val="00D50761"/>
    <w:rsid w:val="00DD2274"/>
    <w:rsid w:val="00E07CB9"/>
    <w:rsid w:val="00E82F0D"/>
    <w:rsid w:val="00ED6861"/>
    <w:rsid w:val="00EF28CF"/>
    <w:rsid w:val="00F62D7A"/>
    <w:rsid w:val="00F67FFA"/>
    <w:rsid w:val="00F91907"/>
    <w:rsid w:val="00FA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DA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F3F"/>
  </w:style>
  <w:style w:type="paragraph" w:styleId="Footer">
    <w:name w:val="footer"/>
    <w:basedOn w:val="Normal"/>
    <w:link w:val="FooterChar"/>
    <w:unhideWhenUsed/>
    <w:rsid w:val="00A0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F3F"/>
  </w:style>
  <w:style w:type="paragraph" w:styleId="BalloonText">
    <w:name w:val="Balloon Text"/>
    <w:basedOn w:val="Normal"/>
    <w:link w:val="BalloonTextChar"/>
    <w:uiPriority w:val="99"/>
    <w:semiHidden/>
    <w:unhideWhenUsed/>
    <w:rsid w:val="00A07F3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A07F3F"/>
    <w:rPr>
      <w:rFonts w:ascii="Tahoma" w:hAnsi="Tahoma" w:cs="Tahoma"/>
      <w:sz w:val="16"/>
      <w:szCs w:val="16"/>
    </w:rPr>
  </w:style>
  <w:style w:type="paragraph" w:customStyle="1" w:styleId="CharCharCharCharChar">
    <w:name w:val=" Char Char Char Char Char"/>
    <w:basedOn w:val="Normal"/>
    <w:rsid w:val="00EF28C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a1">
    <w:name w:val="tpa1"/>
    <w:rsid w:val="00EF28CF"/>
  </w:style>
  <w:style w:type="paragraph" w:styleId="ListParagraph">
    <w:name w:val="List Paragraph"/>
    <w:basedOn w:val="Normal"/>
    <w:uiPriority w:val="34"/>
    <w:qFormat/>
    <w:rsid w:val="007022F9"/>
    <w:pPr>
      <w:ind w:left="720"/>
      <w:contextualSpacing/>
    </w:pPr>
    <w:rPr>
      <w:lang w:val="en-US"/>
    </w:rPr>
  </w:style>
  <w:style w:type="character" w:styleId="Hyperlink">
    <w:name w:val="Hyperlink"/>
    <w:uiPriority w:val="99"/>
    <w:unhideWhenUsed/>
    <w:rsid w:val="00D507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biecte2013.edu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jcta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Links>
    <vt:vector size="12" baseType="variant">
      <vt:variant>
        <vt:i4>2293874</vt:i4>
      </vt:variant>
      <vt:variant>
        <vt:i4>3</vt:i4>
      </vt:variant>
      <vt:variant>
        <vt:i4>0</vt:i4>
      </vt:variant>
      <vt:variant>
        <vt:i4>5</vt:i4>
      </vt:variant>
      <vt:variant>
        <vt:lpwstr>http://subiecte2013.edu.ro/</vt:lpwstr>
      </vt:variant>
      <vt:variant>
        <vt:lpwstr/>
      </vt:variant>
      <vt:variant>
        <vt:i4>1900627</vt:i4>
      </vt:variant>
      <vt:variant>
        <vt:i4>0</vt:i4>
      </vt:variant>
      <vt:variant>
        <vt:i4>0</vt:i4>
      </vt:variant>
      <vt:variant>
        <vt:i4>5</vt:i4>
      </vt:variant>
      <vt:variant>
        <vt:lpwstr>http://www.isjcta.ro/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ISJ20</dc:creator>
  <cp:keywords/>
  <cp:lastModifiedBy>Ancuta</cp:lastModifiedBy>
  <cp:revision>2</cp:revision>
  <cp:lastPrinted>2013-09-09T12:54:00Z</cp:lastPrinted>
  <dcterms:created xsi:type="dcterms:W3CDTF">2013-11-20T17:38:00Z</dcterms:created>
  <dcterms:modified xsi:type="dcterms:W3CDTF">2013-11-20T17:38:00Z</dcterms:modified>
</cp:coreProperties>
</file>