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2C" w:rsidRPr="0081635F" w:rsidRDefault="0022142C" w:rsidP="00F35A83">
      <w:pPr>
        <w:spacing w:after="60"/>
        <w:ind w:hanging="2"/>
        <w:jc w:val="right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b/>
          <w:sz w:val="24"/>
          <w:szCs w:val="24"/>
        </w:rPr>
        <w:t>ANEXA 2</w:t>
      </w:r>
    </w:p>
    <w:p w:rsidR="0022142C" w:rsidRPr="0081635F" w:rsidRDefault="0022142C" w:rsidP="0022142C">
      <w:pPr>
        <w:tabs>
          <w:tab w:val="left" w:pos="180"/>
        </w:tabs>
        <w:spacing w:after="60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2142C" w:rsidRPr="0081635F" w:rsidRDefault="0022142C" w:rsidP="0022142C">
      <w:pPr>
        <w:tabs>
          <w:tab w:val="left" w:pos="180"/>
        </w:tabs>
        <w:spacing w:after="60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b/>
          <w:sz w:val="24"/>
          <w:szCs w:val="24"/>
        </w:rPr>
        <w:t>DECLARAȚIE PRIVIND RESPECTAREA CONDIȚIILOR DE ELIGIBILITATE</w:t>
      </w:r>
    </w:p>
    <w:p w:rsidR="0022142C" w:rsidRPr="0081635F" w:rsidRDefault="0022142C" w:rsidP="0022142C">
      <w:pPr>
        <w:tabs>
          <w:tab w:val="left" w:pos="180"/>
        </w:tabs>
        <w:spacing w:after="60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Subsemnatul/Subsemnata </w:t>
      </w: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.............................................., 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posesor/posesoare a CI seria ....., nr. ......................., eliberată de ............................................, în calitate de </w:t>
      </w: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t>.........................................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t>..................................................................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, cunoscând că falsul în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declaraţii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este pedepsit de Codul Penal, declar pe propria răspundere că respect Regulile generale privind partenerii în cadrul cererilor de finanțare nerambursabilă PEO din Ghidul Solicitantului – Condiții generale și Condiții Specifice – </w:t>
      </w:r>
      <w:r w:rsidRPr="0081635F">
        <w:rPr>
          <w:rFonts w:ascii="Times New Roman" w:hAnsi="Times New Roman" w:cs="Times New Roman"/>
          <w:sz w:val="24"/>
          <w:szCs w:val="24"/>
        </w:rPr>
        <w:t>O ȘANSĂ ÎN PLUS PRIN ÎNVĂȚĂMÂNTUL PROFESIONAL ȘI TEHNIC”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>, respectiv:</w:t>
      </w: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2142C" w:rsidRPr="0081635F" w:rsidRDefault="0022142C" w:rsidP="0022142C">
      <w:pPr>
        <w:numPr>
          <w:ilvl w:val="0"/>
          <w:numId w:val="16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1635F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.......................................................</w:t>
      </w:r>
      <w:proofErr w:type="gram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  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nu</w:t>
      </w:r>
      <w:proofErr w:type="gramEnd"/>
      <w:r w:rsidRPr="0081635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se </w:t>
      </w:r>
      <w:proofErr w:type="spellStart"/>
      <w:r w:rsidRPr="0081635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află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nici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una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situaţiile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mai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jos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Este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situaţie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criză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financiară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/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redresare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financiară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/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stare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insolvenţă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Ordonanței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Urgență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Guvernului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46/2013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criza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financiară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insolvența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unităților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administrative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teritoriale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află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-o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procedură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insolvență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85/2014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procedurile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prevenire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insolvenţei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insolvenţă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>În cazul partenerilor transnaționali, se află într-o situație similară reglementată la nivelul cadrului legal aferent statului de proveniență.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A suferit condamnări definitive datorate unei conduite profesionale îndreptată împotriva legii, decizie formulată de o autoritate de judecată ce are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forţă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res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judicata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Se află în stare de faliment sau face obiectul unei proceduri de lichidare sau de administrare judiciară, are încheiate concordate, şi-a suspendat/ întrerupt activitatea în ultimii 2 ani dinaintea depunerii cererii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finanţare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sau face obiectul unei proceduri în urma acestor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situaţii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, sau se află în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situaţii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similare în urma unei proceduri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aceeaşi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natură prevăzute de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legislaţia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sau de reglementările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naţionale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Reprezentanţii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săi legali/structurile de conducere şi persoanele care asigură conducerea solicitantului/partenerului au comis în conduita profesională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greşeli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grave, demonstrate în instanță, pe care autoritatea contractantă le poate justifica.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Se încadrează, din punct de vedere al obligațiilor de plată restante la bugetele publice, în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situaţia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în care obligațiile de plată nete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depăşesc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1/12 din totalul obligațiilor bugetare de plată datorate în ultimele 12 luni, în cazul certificatului de atestare fiscală emis de Agenția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Naţională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de Administrare Fiscală.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Se încadrează, din punct de vedere al obligațiilor de plată restante la bugetele locale, în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situaţia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în care obligațiile de plată nete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depăşesc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1/6 din totalul obligațiilor datorate la bugetele locale in ultimul semestru încheiat.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Reprezentanții săi legali/structurile de conducere și persoanele care asigură conducerea solicitantului/partenerului au fost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condamnaţi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printr-o hotărâre definitivă pentru fraudă, corupție, participare la o organizație criminală sau la orice alte activități ilegale în detrimentul intereselor financiare ale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Comunităţilor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Solicitantul/Partenerul şi/sau reprezentanții acestuia legali/structurile de conducere a acestora şi persoanele care asigură conducerea solicitantului/partenerului se află în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situaţia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de conflict de interese sau incompatibilitate, așa cum este definit în legislația națională și comunitară în vigoare.</w:t>
      </w:r>
    </w:p>
    <w:p w:rsidR="0022142C" w:rsidRPr="0081635F" w:rsidRDefault="0022142C" w:rsidP="0022142C">
      <w:pPr>
        <w:numPr>
          <w:ilvl w:val="0"/>
          <w:numId w:val="17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>Se face vinovat de declarații false în furnizarea informațiilor solicitate de AM/OI responsabil sau a omis să furnizeze informații care ar putea avea ca efect încadrarea într-o situație de neeligibilitate.</w:t>
      </w: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42C" w:rsidRPr="0081635F" w:rsidRDefault="0022142C" w:rsidP="0022142C">
      <w:pPr>
        <w:numPr>
          <w:ilvl w:val="0"/>
          <w:numId w:val="16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.......................................................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este o entitate legal constituită în România/țara de origine, cu personalitate juridică (nu sunt eligibile persoanele fizice autorizate, întreprinderile individuale, întreprinderile familiale și alte entități similare fără personalitate juridică), ce își asumă că va derula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activităţi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relevante în cadrul proiectului;</w:t>
      </w:r>
    </w:p>
    <w:p w:rsidR="0022142C" w:rsidRPr="0081635F" w:rsidRDefault="0022142C" w:rsidP="0022142C">
      <w:pPr>
        <w:numPr>
          <w:ilvl w:val="0"/>
          <w:numId w:val="16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t>.......................................................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are în obiectul de activitate activitatea/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din cadrul proiectului în cadrul căruia ne dorim rol de parteneri: .............................................. .............................................................................................................................................;</w:t>
      </w:r>
    </w:p>
    <w:p w:rsidR="0022142C" w:rsidRPr="0081635F" w:rsidRDefault="0022142C" w:rsidP="0022142C">
      <w:pPr>
        <w:numPr>
          <w:ilvl w:val="0"/>
          <w:numId w:val="16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t>.......................................................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se încadrează în categoriile de organizații eligibile stabilite prin Ghidul Solicitantului Condiții Specifice – ”</w:t>
      </w:r>
      <w:r w:rsidRPr="0081635F">
        <w:rPr>
          <w:rFonts w:ascii="Times New Roman" w:hAnsi="Times New Roman" w:cs="Times New Roman"/>
          <w:sz w:val="24"/>
          <w:szCs w:val="24"/>
        </w:rPr>
        <w:t>O ȘANSĂ ÎN PLUS PRIN ÎNVĂȚĂMÂNTUL PROFESIONAL ȘI TEHNIC”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142C" w:rsidRPr="0081635F" w:rsidRDefault="0022142C" w:rsidP="0022142C">
      <w:pPr>
        <w:numPr>
          <w:ilvl w:val="0"/>
          <w:numId w:val="16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t>.......................................................</w:t>
      </w: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își asumă că va fi implicat(ă) în cel puțin o activitate relevantă (activitate de bază). Prin activitate relevantă (activitate de bază) se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înţelege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acea activitate care contribuie în mod direct la atingerea indicatorilor.</w:t>
      </w: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Declar că sunt pe deplin autorizat să semnez această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în numele ........................................................................</w:t>
      </w:r>
      <w:r w:rsidRPr="0081635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35A83" w:rsidRDefault="00F35A83" w:rsidP="0022142C">
      <w:pPr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Declar, de asemenea, că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afirmaţiile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din această </w:t>
      </w:r>
      <w:proofErr w:type="spellStart"/>
      <w:r w:rsidRPr="0081635F">
        <w:rPr>
          <w:rFonts w:ascii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81635F">
        <w:rPr>
          <w:rFonts w:ascii="Times New Roman" w:hAnsi="Times New Roman" w:cs="Times New Roman"/>
          <w:color w:val="000000"/>
          <w:sz w:val="24"/>
          <w:szCs w:val="24"/>
        </w:rPr>
        <w:t xml:space="preserve"> sunt adevărate şi că informaţiile incluse în aceasta sunt corecte.</w:t>
      </w: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35A83" w:rsidRDefault="00F35A83" w:rsidP="0022142C">
      <w:pPr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>Partener: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          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......................................</w:t>
      </w:r>
    </w:p>
    <w:p w:rsidR="00F35A83" w:rsidRDefault="00F35A83" w:rsidP="0022142C">
      <w:pPr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>Data: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                      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......................................</w:t>
      </w:r>
    </w:p>
    <w:p w:rsidR="00F35A83" w:rsidRDefault="00F35A83" w:rsidP="0022142C">
      <w:pPr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>Funcţia</w:t>
      </w:r>
      <w:proofErr w:type="spellEnd"/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ocupată în </w:t>
      </w:r>
      <w:proofErr w:type="spellStart"/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>organizaţie</w:t>
      </w:r>
      <w:proofErr w:type="spellEnd"/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    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......................................</w:t>
      </w:r>
    </w:p>
    <w:p w:rsidR="00F35A83" w:rsidRDefault="00F35A83" w:rsidP="0022142C">
      <w:pPr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Prenume şi Nume 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          </w:t>
      </w:r>
      <w:r w:rsidRPr="008163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......................................</w:t>
      </w:r>
    </w:p>
    <w:p w:rsidR="00F35A83" w:rsidRDefault="00F35A83" w:rsidP="0022142C">
      <w:pPr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eading=h.c69fzdj48zt8" w:colFirst="0" w:colLast="0"/>
      <w:bookmarkEnd w:id="0"/>
    </w:p>
    <w:p w:rsidR="0022142C" w:rsidRPr="0081635F" w:rsidRDefault="0022142C" w:rsidP="0022142C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b/>
          <w:color w:val="000000"/>
          <w:sz w:val="24"/>
          <w:szCs w:val="24"/>
        </w:rPr>
        <w:t>Semnătura:</w:t>
      </w:r>
    </w:p>
    <w:p w:rsidR="0022142C" w:rsidRPr="0081635F" w:rsidRDefault="0022142C" w:rsidP="0022142C">
      <w:pPr>
        <w:tabs>
          <w:tab w:val="left" w:pos="180"/>
        </w:tabs>
        <w:spacing w:after="60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2142C" w:rsidRPr="0081635F" w:rsidRDefault="0022142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22142C" w:rsidRPr="0081635F" w:rsidSect="003D3B4D">
      <w:headerReference w:type="default" r:id="rId7"/>
      <w:footerReference w:type="default" r:id="rId8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07F" w:rsidRDefault="0091307F">
      <w:pPr>
        <w:spacing w:line="240" w:lineRule="auto"/>
      </w:pPr>
      <w:r>
        <w:separator/>
      </w:r>
    </w:p>
  </w:endnote>
  <w:endnote w:type="continuationSeparator" w:id="0">
    <w:p w:rsidR="0091307F" w:rsidRDefault="0091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57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A83" w:rsidRDefault="00F35A83" w:rsidP="0065649A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35A83" w:rsidRDefault="00F35A83" w:rsidP="00F35A83">
        <w:pPr>
          <w:pStyle w:val="Footer"/>
          <w:jc w:val="right"/>
        </w:pPr>
      </w:p>
      <w:p w:rsidR="00F35A83" w:rsidRPr="00964F10" w:rsidRDefault="00F35A83" w:rsidP="00F35A83">
        <w:pPr>
          <w:widowControl w:val="0"/>
          <w:spacing w:line="220" w:lineRule="auto"/>
          <w:ind w:hanging="2"/>
          <w:jc w:val="right"/>
          <w:rPr>
            <w:rFonts w:ascii="Microsoft Sans Serif" w:eastAsia="Microsoft Sans Serif" w:hAnsi="Microsoft Sans Serif" w:cs="Microsoft Sans Serif"/>
            <w:bCs/>
            <w:color w:val="000000"/>
            <w:sz w:val="16"/>
            <w:szCs w:val="16"/>
            <w:lang w:val="ro-RO" w:eastAsia="ro-RO" w:bidi="ro-RO"/>
          </w:rPr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Str. Mihai Eminescu nr. 11, </w:t>
        </w:r>
        <w:proofErr w:type="spellStart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Constanţa</w:t>
        </w:r>
        <w:proofErr w:type="spellEnd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, cod </w:t>
        </w:r>
        <w:proofErr w:type="spellStart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poştal</w:t>
        </w:r>
        <w:proofErr w:type="spellEnd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: 900664</w:t>
        </w:r>
      </w:p>
      <w:p w:rsidR="00F35A83" w:rsidRPr="00964F10" w:rsidRDefault="00F35A83" w:rsidP="00F35A83">
        <w:pPr>
          <w:widowControl w:val="0"/>
          <w:spacing w:line="220" w:lineRule="auto"/>
          <w:ind w:hanging="2"/>
          <w:jc w:val="right"/>
          <w:rPr>
            <w:rFonts w:ascii="Microsoft Sans Serif" w:eastAsia="Microsoft Sans Serif" w:hAnsi="Microsoft Sans Serif" w:cs="Microsoft Sans Serif"/>
            <w:bCs/>
            <w:color w:val="000000"/>
            <w:sz w:val="16"/>
            <w:szCs w:val="16"/>
            <w:lang w:val="ro-RO" w:eastAsia="ro-RO" w:bidi="ro-RO"/>
          </w:rPr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Tel.: +40 (0)241 611 913,  Fax: +40 (0)241 618 880</w:t>
        </w:r>
      </w:p>
      <w:p w:rsidR="00F35A83" w:rsidRPr="00F35A83" w:rsidRDefault="00F35A83" w:rsidP="00F35A83">
        <w:pPr>
          <w:pStyle w:val="Footer"/>
          <w:jc w:val="right"/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www.isjcta.ro   e-mail: </w:t>
        </w:r>
        <w:hyperlink r:id="rId1" w:history="1">
          <w:r w:rsidRPr="001D4548">
            <w:rPr>
              <w:rStyle w:val="Hyperlink"/>
              <w:rFonts w:ascii="Microsoft Sans Serif" w:eastAsia="Microsoft Sans Serif" w:hAnsi="Microsoft Sans Serif" w:cs="Microsoft Sans Serif"/>
              <w:sz w:val="16"/>
              <w:szCs w:val="16"/>
              <w:lang w:val="ro-RO" w:eastAsia="ro-RO" w:bidi="ro-RO"/>
            </w:rPr>
            <w:t>isj-cta@isjcta.ro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07F" w:rsidRDefault="0091307F">
      <w:pPr>
        <w:spacing w:line="240" w:lineRule="auto"/>
      </w:pPr>
      <w:r>
        <w:separator/>
      </w:r>
    </w:p>
  </w:footnote>
  <w:footnote w:type="continuationSeparator" w:id="0">
    <w:p w:rsidR="0091307F" w:rsidRDefault="0091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2C" w:rsidRPr="003D3B4D" w:rsidRDefault="0022142C" w:rsidP="003D3B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A28DE" wp14:editId="747E843E">
          <wp:simplePos x="0" y="0"/>
          <wp:positionH relativeFrom="page">
            <wp:posOffset>1463040</wp:posOffset>
          </wp:positionH>
          <wp:positionV relativeFrom="paragraph">
            <wp:posOffset>-76200</wp:posOffset>
          </wp:positionV>
          <wp:extent cx="5059680" cy="601980"/>
          <wp:effectExtent l="0" t="0" r="762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25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6F9"/>
    <w:multiLevelType w:val="multilevel"/>
    <w:tmpl w:val="CB2A9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A77C0A"/>
    <w:multiLevelType w:val="multilevel"/>
    <w:tmpl w:val="D9F2B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BA09CD"/>
    <w:multiLevelType w:val="hybridMultilevel"/>
    <w:tmpl w:val="EF06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032"/>
    <w:multiLevelType w:val="hybridMultilevel"/>
    <w:tmpl w:val="096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5A20"/>
    <w:multiLevelType w:val="hybridMultilevel"/>
    <w:tmpl w:val="AC604D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63C2D"/>
    <w:multiLevelType w:val="multilevel"/>
    <w:tmpl w:val="B6186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C439C1"/>
    <w:multiLevelType w:val="multilevel"/>
    <w:tmpl w:val="AFC21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6372A9"/>
    <w:multiLevelType w:val="multilevel"/>
    <w:tmpl w:val="2F22B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7A12FA"/>
    <w:multiLevelType w:val="multilevel"/>
    <w:tmpl w:val="587AC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350E161E"/>
    <w:multiLevelType w:val="multilevel"/>
    <w:tmpl w:val="6C3C9A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3D2C0794"/>
    <w:multiLevelType w:val="multilevel"/>
    <w:tmpl w:val="F40E6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34760E"/>
    <w:multiLevelType w:val="hybridMultilevel"/>
    <w:tmpl w:val="AAB4583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1D17D21"/>
    <w:multiLevelType w:val="hybridMultilevel"/>
    <w:tmpl w:val="FDFC3CE2"/>
    <w:lvl w:ilvl="0" w:tplc="4E825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B6310"/>
    <w:multiLevelType w:val="hybridMultilevel"/>
    <w:tmpl w:val="51CC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B0D"/>
    <w:multiLevelType w:val="multilevel"/>
    <w:tmpl w:val="DA989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FF77A5"/>
    <w:multiLevelType w:val="hybridMultilevel"/>
    <w:tmpl w:val="9196A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D28BD"/>
    <w:multiLevelType w:val="hybridMultilevel"/>
    <w:tmpl w:val="3C749D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A40A16"/>
    <w:multiLevelType w:val="multilevel"/>
    <w:tmpl w:val="5192C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4B4DD9"/>
    <w:multiLevelType w:val="multilevel"/>
    <w:tmpl w:val="74AC6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9E"/>
    <w:rsid w:val="0022142C"/>
    <w:rsid w:val="00384EEF"/>
    <w:rsid w:val="003D3B4D"/>
    <w:rsid w:val="0065649A"/>
    <w:rsid w:val="006C139E"/>
    <w:rsid w:val="0075101E"/>
    <w:rsid w:val="0081635F"/>
    <w:rsid w:val="008864A9"/>
    <w:rsid w:val="0091307F"/>
    <w:rsid w:val="00C72C87"/>
    <w:rsid w:val="00D57720"/>
    <w:rsid w:val="00F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1E16F"/>
  <w15:docId w15:val="{0D0E97CA-1258-4B66-A15A-9D6275D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B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4D"/>
  </w:style>
  <w:style w:type="paragraph" w:styleId="Footer">
    <w:name w:val="footer"/>
    <w:basedOn w:val="Normal"/>
    <w:link w:val="FooterChar"/>
    <w:uiPriority w:val="99"/>
    <w:unhideWhenUsed/>
    <w:rsid w:val="003D3B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4D"/>
  </w:style>
  <w:style w:type="paragraph" w:styleId="ListParagraph">
    <w:name w:val="List Paragraph"/>
    <w:basedOn w:val="Normal"/>
    <w:uiPriority w:val="34"/>
    <w:qFormat/>
    <w:rsid w:val="003D3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j-cta@isjct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PORTASE</cp:lastModifiedBy>
  <cp:revision>5</cp:revision>
  <dcterms:created xsi:type="dcterms:W3CDTF">2025-06-29T19:40:00Z</dcterms:created>
  <dcterms:modified xsi:type="dcterms:W3CDTF">2025-06-29T21:09:00Z</dcterms:modified>
</cp:coreProperties>
</file>